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C" w:rsidRPr="008E335F" w:rsidRDefault="00821E7B" w:rsidP="008E33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335F">
        <w:rPr>
          <w:rFonts w:ascii="Arial" w:hAnsi="Arial" w:cs="Arial"/>
          <w:b/>
          <w:sz w:val="20"/>
          <w:szCs w:val="20"/>
        </w:rPr>
        <w:t>W</w:t>
      </w:r>
      <w:r w:rsidR="00A67EF1" w:rsidRPr="008E335F">
        <w:rPr>
          <w:rFonts w:ascii="Arial" w:hAnsi="Arial" w:cs="Arial"/>
          <w:b/>
          <w:sz w:val="20"/>
          <w:szCs w:val="20"/>
        </w:rPr>
        <w:t>ymagania</w:t>
      </w:r>
      <w:r w:rsidR="008E335F">
        <w:rPr>
          <w:rFonts w:ascii="Arial" w:hAnsi="Arial" w:cs="Arial"/>
          <w:b/>
          <w:sz w:val="20"/>
          <w:szCs w:val="20"/>
        </w:rPr>
        <w:t xml:space="preserve"> edukacyjne</w:t>
      </w:r>
      <w:bookmarkStart w:id="0" w:name="_GoBack"/>
      <w:bookmarkEnd w:id="0"/>
      <w:r w:rsidR="00C7607C" w:rsidRPr="008E335F">
        <w:rPr>
          <w:rFonts w:ascii="Arial" w:hAnsi="Arial" w:cs="Arial"/>
          <w:b/>
          <w:sz w:val="20"/>
          <w:szCs w:val="20"/>
        </w:rPr>
        <w:t xml:space="preserve"> do historii dla klasy 7 szkoły podstawowej</w:t>
      </w:r>
      <w:r w:rsidR="008E335F">
        <w:rPr>
          <w:rFonts w:ascii="Arial" w:hAnsi="Arial" w:cs="Arial"/>
          <w:b/>
          <w:sz w:val="20"/>
          <w:szCs w:val="20"/>
        </w:rPr>
        <w:t>.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kierunki rozwoju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 xml:space="preserve">urbanizacja,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aspekty gospodarcze i społeczno-polityczne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 xml:space="preserve">(socjalizm, ruch ludowy, ruch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społeczno- polityczne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w zaborach pruskim,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konstytucji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charakteryzuje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okręgi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Waleriana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lastRenderedPageBreak/>
              <w:t>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powstańczych poza Królestwem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główne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Słowacki, Andrzej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Austrią dla procesu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drugiej połowy XIX 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sztuce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jeśli to możliwe,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realizacji programu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postawy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narodowej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rusyfikacji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ziemiach dawnej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Polaków pod koniec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przedsiębiorczości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podziały na polskiej scenie politycznej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społeczne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Ludwika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lastRenderedPageBreak/>
              <w:t>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sztukę polską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Kiereński, Włodzimierz Lenin,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udział Polaków w obradach konferencji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lastRenderedPageBreak/>
              <w:t xml:space="preserve">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przejęcia władzy przez B.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socjalizmu […]): ideologię i praktykę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marszu na Rzym (1922),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jednostki, wielka czystka, komunizm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Odrodzenie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sytuacja ziem polskich pod koniec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 xml:space="preserve">Tymczasowy </w:t>
            </w:r>
            <w:r w:rsidRPr="00FD653B">
              <w:rPr>
                <w:rFonts w:cstheme="minorHAnsi"/>
                <w:i/>
                <w:sz w:val="20"/>
                <w:szCs w:val="20"/>
              </w:rPr>
              <w:lastRenderedPageBreak/>
              <w:t>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lastRenderedPageBreak/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charakteryzuje sytuację polityczną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inkorporacyjna, koncepcja federacyjna,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Powstania Wielkopolskiego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Warszawskiej (15 VIII 1920), pokoju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wybuchu powstania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lastRenderedPageBreak/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 xml:space="preserve">wojny </w:t>
            </w:r>
            <w:r w:rsidR="003D7A47" w:rsidRPr="000C67C6">
              <w:rPr>
                <w:rFonts w:cstheme="minorHAnsi"/>
                <w:sz w:val="20"/>
                <w:szCs w:val="20"/>
              </w:rPr>
              <w:lastRenderedPageBreak/>
              <w:t>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rząd W. Grabskiego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partie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sierpniowej i konstytucji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brzeski, konstytucja kwietniowa, Bereza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autorytaryzm – rządy sanacji,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autorytaryzm, konstytucja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lastRenderedPageBreak/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malarstwie i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Ribbentrop–Mołotow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32" w:rsidRDefault="00432E32" w:rsidP="00254330">
      <w:pPr>
        <w:spacing w:after="0" w:line="240" w:lineRule="auto"/>
      </w:pPr>
      <w:r>
        <w:separator/>
      </w:r>
    </w:p>
  </w:endnote>
  <w:endnote w:type="continuationSeparator" w:id="0">
    <w:p w:rsidR="00432E32" w:rsidRDefault="00432E3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3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32" w:rsidRDefault="00432E32" w:rsidP="00254330">
      <w:pPr>
        <w:spacing w:after="0" w:line="240" w:lineRule="auto"/>
      </w:pPr>
      <w:r>
        <w:separator/>
      </w:r>
    </w:p>
  </w:footnote>
  <w:footnote w:type="continuationSeparator" w:id="0">
    <w:p w:rsidR="00432E32" w:rsidRDefault="00432E32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1523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2E32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1E7B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335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C0EB-706F-43E8-BC1A-E295AC6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11358</Words>
  <Characters>68151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Anita</cp:lastModifiedBy>
  <cp:revision>3</cp:revision>
  <dcterms:created xsi:type="dcterms:W3CDTF">2021-11-25T18:37:00Z</dcterms:created>
  <dcterms:modified xsi:type="dcterms:W3CDTF">2022-09-05T15:24:00Z</dcterms:modified>
</cp:coreProperties>
</file>